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79" w:rsidRPr="00502179" w:rsidRDefault="00502179" w:rsidP="00502179">
      <w:pPr>
        <w:spacing w:line="240" w:lineRule="auto"/>
        <w:ind w:left="44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Mikro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kiçik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orta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sahibkarlıq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subyektlərinin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kommunal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xidmətlərə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qoşulma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proseslərinin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daha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da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sadələşdirilməsi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Respublikası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Prezidentinin</w:t>
      </w:r>
      <w:proofErr w:type="spellEnd"/>
      <w:r w:rsidRPr="005021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b/>
          <w:sz w:val="32"/>
          <w:szCs w:val="32"/>
        </w:rPr>
        <w:t>Fərmanı</w:t>
      </w:r>
      <w:proofErr w:type="spellEnd"/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Sahibkarlığın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inkişafı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biznes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mühitinin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daim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yaxşılaşdırılması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sosial-iqtisadi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inkişafı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böyük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əhəmiyyət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kəsb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2179"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baxımdan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ötən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ərzində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fəaliyyətinin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tənzimlənməsi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hüquqlarının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qanuni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mənafelərinin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qorunması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sahəsində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mühüm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nailiyyətlər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əldə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olunmuş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sahibkarlığın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inkişafı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beynəlxalq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təcrübədə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təsdiqini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tapmış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dəstək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mexanizmləri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formalaşmışdır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Konstitusiyasının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109-cu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maddəsinin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32-ci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bəndini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rəhbər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tutaraq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subyektlərinin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elektrik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enerjisi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tullantı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axıdılması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prosedurlarının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daha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təkmilləşdirilməsi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vaxtın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maliyyə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xərclərinin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optimallaşdırılması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onlara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göstərilən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xidmətlərin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yüksək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səviyyədə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keyfiyyətlə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rahat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məmnunluğu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əsasında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reallaşdırılması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2016-cı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dekabr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tarixli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1138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nömrəli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təsdiq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edilmiş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kiçik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orta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səviyyəsində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istehlak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mallarının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istehsalına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Strateji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Yol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Xəritəsi”ndə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nəzərdə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tutulmuş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tədbirlərin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həyata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keçirilməsini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təmin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etmək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məqsədilə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qərara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alıram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: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Müəyyən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edilsin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: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mikro</w:t>
      </w:r>
      <w:proofErr w:type="spellEnd"/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kiçik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orta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subyektlərinin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bundan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sonra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sahibkarlar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tullantı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axıdılması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həmçinin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mövcud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qoşulmalarda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suyun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ümumi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buraxılış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həcminin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nöqtələrinin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dəyişdirilməsi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aşağıdakı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tələblərə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əsaslanır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: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1.1.1.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tullantı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axıdılması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əlaqədar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texniki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şərtlərin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layihə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sənədlərinin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hazırlanması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habelə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fiziki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həyata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keçirilməsi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məqsədilə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müraciətlərin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qəbulu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kiçik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orta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biznes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evlərində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(KOB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evlərində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“ASAN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Kommunal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mərkəzlərində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(“ASAN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Kommunal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mərkəzləri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yaradılmayan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regionlarda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isə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“ASAN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mərkəzlərində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təşkil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olunur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Tikintiyə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icazə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icraatı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çərçivəsində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şəhərsalmaya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tikintiyə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normativ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sənədlərin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uyğun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olaraq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obyekti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texniki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şərtlər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sifarişçinin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tikintiyə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icazə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lastRenderedPageBreak/>
        <w:t>verən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orqana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quruma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müraciəti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həmin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orqanın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qurumun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sorğusu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əsasında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1.1.2–1.1.5-ci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yarımbəndlərində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qeyd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olunmuş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nəzərə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alınmaqla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verilir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1.1.2. </w:t>
      </w: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tullantı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axıdılması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həmçinin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suyun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ümumi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buraxılış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həcminin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nöqtələrinin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dəyişdirilməsi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texniki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şərtlər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ödənişsiz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verilir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1.1.3. </w:t>
      </w: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tullantı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axıdılması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həmçinin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suyun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ümumi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buraxılış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həcminin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dəyişdirilməsi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haqlarının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məbləğini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Kabineti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müəyyən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. Bu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haqlardan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başqa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sifarişçidən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gücləndirilməsinə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görə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ödəniş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bilməz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1.1.4. </w:t>
      </w: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tullantı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axıdılması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sifarişçinin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müraciət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etdiyi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tarixdən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xəttin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çəkilməsi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işlərinə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sərf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istisna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olmaqla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geci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20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ərzində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həyata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keçirilir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1.1.5.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təbii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inhisarda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mühəndis-kommunikasiya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təminatı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xidmətləri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göstərən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müəssisələri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şəhər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rayon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şəhər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rayonu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istisna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olmaqla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inzibati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ərazi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vahidi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üzrə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elektrik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enerjisi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həmin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mövcud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imkanlarını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sərbəst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gücləri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əks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etdirən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məlumatların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müvafiq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informasiya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yerləşdirilməsini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mütəmadi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olaraq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yenilənməsi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təmin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1.2.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gücü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150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kVt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-a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qədər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(150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kVt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daxil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olmaqla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mövcud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0,4 kV-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luq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şəbəkədən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mövcud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inşa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ediləcək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obyektlərinin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elektrik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enerjisi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gücü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texniki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şərtlərin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enerji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şəbəkəsinə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qaydaları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onlara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2017-ci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aprel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tarixli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1313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nömrəli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təsdiq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edilmiş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gücü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150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kVt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-a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qədər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(150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kVt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daxil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olmaqla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mövcud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0,4 kV-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luq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şəbəkədən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mövcud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inşa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ediləcək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obyektlərinin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elektrik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enerjisi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gücü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texniki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şərtlərin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layihə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sənədlərinin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hazırlanması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habelə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enerji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şəbəkəsinə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Qaydası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müəyyən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edilir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.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Kabineti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: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2.1.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Energetika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İqtisadiyyat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Dövlət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Neft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Şirkəti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birlikdə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obyektlərinin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lastRenderedPageBreak/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şəbəkələrinə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qaydasının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İqtisadiyyat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Açıq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Səhmdar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Cəmiyyəti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birlikdə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tikinti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obyektlərinin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tullantı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axıdılması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sistemlərinə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qoşulması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qaydasının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layihələrini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layihələrdə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1-ci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hissəsində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qeyd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olunan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tələblər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əsasında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sahibkarlıq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subyekti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verilən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qazın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suyun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buraxılış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həcminin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yuxarı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hədlərini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göstərilməklə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ay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hazırlayıb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təqdim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2.2. </w:t>
      </w: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1.1.5-ci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bəndində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göstərilən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məlumatların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mühəndis-kommunikasiya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təminatı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xidmətləri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göstərən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təchizat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müəssisələrinin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internet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saytlarına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yerləşdirilməsi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formasını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müəyyən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qaydaları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ay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təsdiq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2.3.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aktlarının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uyğunlaşdırılması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ilə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bağlı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təkliflərini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ay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hazırlayıb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təqdim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2.4.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Kabinetinin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normativ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hüquqi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aktlarının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uyğunlaşdırılmasını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ay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təmin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məlumat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2.5. </w:t>
      </w: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mərkəzi</w:t>
      </w:r>
      <w:proofErr w:type="spellEnd"/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icra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hakimiyyəti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orqanlarının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normativ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hüquqi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aktlarının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uyğunlaşdırılmasını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nəzarətdə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saxlasın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bunun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icrası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barədə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üç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ay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müddətində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məlumat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;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2.6. </w:t>
      </w:r>
      <w:proofErr w:type="spellStart"/>
      <w:proofErr w:type="gram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proofErr w:type="gram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Fərmandan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irəli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gələn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digər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məsələləri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həll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.</w:t>
      </w:r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502179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Ədliyyə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mərkəzi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icra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hakimiyyəti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orqanlarının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normativ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hüquqi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aktlarının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normativ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xarakterli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aktların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uyğunlaşdırılmasını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təmin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edib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Kabinetinə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məlumat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versin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02179" w:rsidRPr="00502179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sz w:val="32"/>
          <w:szCs w:val="32"/>
        </w:rPr>
      </w:pPr>
      <w:r w:rsidRPr="00502179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İqtisadiyyat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Energetika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Nazirliyi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Prezidenti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yanında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Vətəndaşlara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Sosial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İnnovasiyalar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üzrə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Dövlət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Agentliyi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Azərbaycan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Dövlət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Neft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Şirkəti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, “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Azərişıq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Açıq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Səhmdar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Cəmiyyəti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Azərsu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Açıq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Səhmdar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Cəmiyyəti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Fərmandan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irəli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gələn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zəruri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tədbirlərin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icrasını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təmin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179">
        <w:rPr>
          <w:rFonts w:ascii="Times New Roman" w:hAnsi="Times New Roman" w:cs="Times New Roman"/>
          <w:sz w:val="32"/>
          <w:szCs w:val="32"/>
        </w:rPr>
        <w:t>etsinlər</w:t>
      </w:r>
      <w:proofErr w:type="spellEnd"/>
      <w:r w:rsidRPr="00502179">
        <w:rPr>
          <w:rFonts w:ascii="Times New Roman" w:hAnsi="Times New Roman" w:cs="Times New Roman"/>
          <w:sz w:val="32"/>
          <w:szCs w:val="32"/>
        </w:rPr>
        <w:t>.</w:t>
      </w:r>
    </w:p>
    <w:p w:rsidR="00502179" w:rsidRPr="00271D84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1D84">
        <w:rPr>
          <w:rFonts w:ascii="Times New Roman" w:hAnsi="Times New Roman" w:cs="Times New Roman"/>
          <w:b/>
          <w:sz w:val="32"/>
          <w:szCs w:val="32"/>
        </w:rPr>
        <w:t>İlham</w:t>
      </w:r>
      <w:proofErr w:type="spellEnd"/>
      <w:r w:rsidRPr="00271D84">
        <w:rPr>
          <w:rFonts w:ascii="Times New Roman" w:hAnsi="Times New Roman" w:cs="Times New Roman"/>
          <w:b/>
          <w:sz w:val="32"/>
          <w:szCs w:val="32"/>
        </w:rPr>
        <w:t xml:space="preserve"> Əliyev</w:t>
      </w:r>
    </w:p>
    <w:p w:rsidR="00502179" w:rsidRPr="00271D84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1D84">
        <w:rPr>
          <w:rFonts w:ascii="Times New Roman" w:hAnsi="Times New Roman" w:cs="Times New Roman"/>
          <w:b/>
          <w:sz w:val="32"/>
          <w:szCs w:val="32"/>
        </w:rPr>
        <w:t>Azərbaycan</w:t>
      </w:r>
      <w:proofErr w:type="spellEnd"/>
      <w:r w:rsidRPr="00271D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1D84">
        <w:rPr>
          <w:rFonts w:ascii="Times New Roman" w:hAnsi="Times New Roman" w:cs="Times New Roman"/>
          <w:b/>
          <w:sz w:val="32"/>
          <w:szCs w:val="32"/>
        </w:rPr>
        <w:t>Respublikasının</w:t>
      </w:r>
      <w:proofErr w:type="spellEnd"/>
      <w:r w:rsidRPr="00271D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1D84">
        <w:rPr>
          <w:rFonts w:ascii="Times New Roman" w:hAnsi="Times New Roman" w:cs="Times New Roman"/>
          <w:b/>
          <w:sz w:val="32"/>
          <w:szCs w:val="32"/>
        </w:rPr>
        <w:t>Prezidenti</w:t>
      </w:r>
      <w:proofErr w:type="spellEnd"/>
    </w:p>
    <w:p w:rsidR="00502179" w:rsidRPr="00271D84" w:rsidRDefault="00502179" w:rsidP="00502179">
      <w:pPr>
        <w:spacing w:line="240" w:lineRule="auto"/>
        <w:ind w:left="446" w:firstLine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1D84">
        <w:rPr>
          <w:rFonts w:ascii="Times New Roman" w:hAnsi="Times New Roman" w:cs="Times New Roman"/>
          <w:b/>
          <w:sz w:val="32"/>
          <w:szCs w:val="32"/>
        </w:rPr>
        <w:t>Bakı</w:t>
      </w:r>
      <w:proofErr w:type="spellEnd"/>
      <w:r w:rsidRPr="00271D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1D84">
        <w:rPr>
          <w:rFonts w:ascii="Times New Roman" w:hAnsi="Times New Roman" w:cs="Times New Roman"/>
          <w:b/>
          <w:sz w:val="32"/>
          <w:szCs w:val="32"/>
        </w:rPr>
        <w:t>şəhəri</w:t>
      </w:r>
      <w:proofErr w:type="spellEnd"/>
      <w:r w:rsidRPr="00271D84">
        <w:rPr>
          <w:rFonts w:ascii="Times New Roman" w:hAnsi="Times New Roman" w:cs="Times New Roman"/>
          <w:b/>
          <w:sz w:val="32"/>
          <w:szCs w:val="32"/>
        </w:rPr>
        <w:t xml:space="preserve">, 25 </w:t>
      </w:r>
      <w:proofErr w:type="spellStart"/>
      <w:r w:rsidRPr="00271D84">
        <w:rPr>
          <w:rFonts w:ascii="Times New Roman" w:hAnsi="Times New Roman" w:cs="Times New Roman"/>
          <w:b/>
          <w:sz w:val="32"/>
          <w:szCs w:val="32"/>
        </w:rPr>
        <w:t>dekabr</w:t>
      </w:r>
      <w:proofErr w:type="spellEnd"/>
      <w:r w:rsidRPr="00271D84">
        <w:rPr>
          <w:rFonts w:ascii="Times New Roman" w:hAnsi="Times New Roman" w:cs="Times New Roman"/>
          <w:b/>
          <w:sz w:val="32"/>
          <w:szCs w:val="32"/>
        </w:rPr>
        <w:t xml:space="preserve"> 2018-ci </w:t>
      </w:r>
      <w:proofErr w:type="spellStart"/>
      <w:proofErr w:type="gramStart"/>
      <w:r w:rsidRPr="00271D84">
        <w:rPr>
          <w:rFonts w:ascii="Times New Roman" w:hAnsi="Times New Roman" w:cs="Times New Roman"/>
          <w:b/>
          <w:sz w:val="32"/>
          <w:szCs w:val="32"/>
        </w:rPr>
        <w:t>il</w:t>
      </w:r>
      <w:proofErr w:type="spellEnd"/>
      <w:proofErr w:type="gramEnd"/>
      <w:r w:rsidRPr="00271D84">
        <w:rPr>
          <w:rFonts w:ascii="Times New Roman" w:hAnsi="Times New Roman" w:cs="Times New Roman"/>
          <w:b/>
          <w:sz w:val="32"/>
          <w:szCs w:val="32"/>
        </w:rPr>
        <w:t>.</w:t>
      </w:r>
    </w:p>
    <w:p w:rsidR="00106B70" w:rsidRDefault="00106B70"/>
    <w:sectPr w:rsidR="00106B70" w:rsidSect="00502179">
      <w:pgSz w:w="12240" w:h="15840"/>
      <w:pgMar w:top="81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83E"/>
    <w:multiLevelType w:val="multilevel"/>
    <w:tmpl w:val="222E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179"/>
    <w:rsid w:val="00106B70"/>
    <w:rsid w:val="00271D84"/>
    <w:rsid w:val="00502179"/>
    <w:rsid w:val="005A5362"/>
    <w:rsid w:val="00CE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70"/>
  </w:style>
  <w:style w:type="paragraph" w:styleId="Heading1">
    <w:name w:val="heading 1"/>
    <w:basedOn w:val="Normal"/>
    <w:link w:val="Heading1Char"/>
    <w:uiPriority w:val="9"/>
    <w:qFormat/>
    <w:rsid w:val="0050217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1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date">
    <w:name w:val="news_date"/>
    <w:basedOn w:val="DefaultParagraphFont"/>
    <w:rsid w:val="00502179"/>
  </w:style>
  <w:style w:type="paragraph" w:styleId="NormalWeb">
    <w:name w:val="Normal (Web)"/>
    <w:basedOn w:val="Normal"/>
    <w:uiPriority w:val="99"/>
    <w:semiHidden/>
    <w:unhideWhenUsed/>
    <w:rsid w:val="005021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51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3974">
              <w:marLeft w:val="0"/>
              <w:marRight w:val="8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276">
              <w:marLeft w:val="0"/>
              <w:marRight w:val="0"/>
              <w:marTop w:val="0"/>
              <w:marBottom w:val="4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neyman.safaraliyev</dc:creator>
  <cp:lastModifiedBy>neyman.safaraliyev</cp:lastModifiedBy>
  <cp:revision>1</cp:revision>
  <cp:lastPrinted>2018-12-26T05:40:00Z</cp:lastPrinted>
  <dcterms:created xsi:type="dcterms:W3CDTF">2018-12-26T05:39:00Z</dcterms:created>
  <dcterms:modified xsi:type="dcterms:W3CDTF">2018-12-26T05:52:00Z</dcterms:modified>
</cp:coreProperties>
</file>